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O4V-24-17 vom 4. September 2025</w:t>
      </w:r>
    </w:p>
    <w:p>
      <w:r>
        <w:t>AR Gerichte, 2025-09-04, DE</w:t>
      </w:r>
    </w:p>
    <w:p>
      <w:r>
        <w:rPr>
          <w:b/>
        </w:rPr>
        <w:t xml:space="preserve">Quelle: </w:t>
      </w:r>
      <w:r>
        <w:t>https://mcp.opencaselaw.ch/entscheid/ar_gerichte_OG O4V-24-17</w:t>
      </w:r>
    </w:p>
    <w:p>
      <w:r>
        <w:t>FR: AR_GERICHTE OG O4V-24-17 du 4 septembre 2025</w:t>
      </w:r>
    </w:p>
    <w:p>
      <w:r>
        <w:t>IT: AR_GERICHTE OG O4V-24-17 del 4 settembre 2025</w:t>
      </w:r>
    </w:p>
    <w:p>
      <w:pPr>
        <w:pStyle w:val="Heading2"/>
      </w:pPr>
      <w:r>
        <w:t>Erwägungen</w:t>
      </w:r>
    </w:p>
    <w:p>
      <w:r>
        <w:rPr>
          <w:b/>
        </w:rPr>
        <w:t>E. 1</w:t>
      </w:r>
    </w:p>
    <w:p>
      <w:r>
        <w:t>Die sachliche bzw. funktionale Zuständigkeit des Obergerichts ergibt sich aus Art. 54 Abs. 1 des Gesetzes über die Verwaltungsrechtspflege (VRPG, bGS 143.1), wonach das Oberge- richt zur Behandlung von Beschwerden gegen letztinstanzliche Verfügungen der Verwal- tungsbehörden zuständig ist. Da die Beschwerdeberechtigung des Beschwerdeführers als Adressat des negativen Rekursentscheids, mit welchem der Führerausweisentzug bestätigt wurde, offensichtlich gegeben ist und die Beschwerde form- und fristgerecht eingereicht wurde, ist auf die Beschwerde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Sachver- Seite 3 halt unrichtig oder unvollständig festgestellt haben. Die Überprüfung der Angemessenheit ist dem Obergericht jedoch verwehrt (Art. 56 Abs. 1 VRPG e contrario).</w:t>
      </w:r>
    </w:p>
    <w:p>
      <w:r>
        <w:rPr>
          <w:b/>
        </w:rPr>
        <w:t>E. 3.1</w:t>
      </w:r>
    </w:p>
    <w:p>
      <w:r>
        <w:t>Die Vorinstanz führt im angefochtenen Entscheid aus, dass die vorliegende Geschwindigkeitsüberschreitung um 43 km/h im Ausserortsbereich als schwere Widerhandlung gegen die Strassenverkehrsvorschriften im Sinne von Art. 16c des Strassenverkehrsgesetzes [SVG, SR 741.01] zu werten sei. Aufgrund der Widerhandlung sei in C. ein Fahrverbot ausgesprochen worden. Weiter führt sie aus, dass der Führerausweis beim gegebenen automobilistischen Leumund – der Beschwerdeführer sei bislang einzig für eine leichte Widerhandlung im Jahr 2021 verwarnt worden – für mindestens drei Monate zu entziehen sei, wäre die Widerhandlung auf schweizerischem Boden geschehen. Massnahmeerschwerend falle die sehr deutliche Geschwindigkeitsüberschreitung ins Gewicht, massnahmemildernd die berufliche Angewiesenheit. Die Mindestentzugsdauer sei in Würdigung des im Ausland ausgesprochenen Fahrverbotes unterschritten worden mit dem Effekt, dass die Gesamtentzugsdauer der Mindestentzugsdauer entspreche. Damit sei der beruflichen Angewiesenheit des Beschwerdeführers im maximalen Mass entgegengekommen worden. Zudem profitiere dieser vom Umstand, dass der Entzug faktisch auf zwei Phasen aufgeteilt werde.</w:t>
      </w:r>
    </w:p>
    <w:p>
      <w:r>
        <w:rPr>
          <w:b/>
        </w:rPr>
        <w:t>E. 3.2</w:t>
      </w:r>
    </w:p>
    <w:p>
      <w:r>
        <w:t>Der Beschwerdeführer beanstandet, dass der von der verfügenden Behörde auferlegte Führerausweisentzug von zwei Monaten doppelt so lange andauere wie das von der zuständigen Behörde in C. verfügte Fahrverbot. Weiter bringt er vor, dass er aus beruflichen Gründen auf den Führerausweis angewiesen sei, da er als Mitarbeiter einer Sicherheitsfirma in F. an verschiedenen Standorten in F. zum Einsatz komme, während den Arbeitszeiten den Standort wechseln müsse und oftmals Nachtdienst habe.</w:t>
      </w:r>
    </w:p>
    <w:p>
      <w:r>
        <w:rPr>
          <w:b/>
        </w:rPr>
        <w:t>E. 3.3</w:t>
      </w:r>
    </w:p>
    <w:p>
      <w:r>
        <w:t>Nach einer Widerhandlung im Ausland wird der Führerausweis entzogen, wenn im Ausland ein Fahrverbot verfügt wurde (Bst. a) und die Widerhandlung nach den Artikeln 16b und 16c als mittelschwer oder schwer (Bst. b) zu qualifizieren ist (Art. 16cbis Abs. 1 SVG). Bei der Festlegung der Entzugsdauer sind die Auswirkungen des ausländischen Fahrverbotes auf die betroffene Person angemessen zu berücksichtigen. Die Mindestentzugsdauer darf unterschritten werden. Die Entzugsdauer darf bei Personen, zu denen im Informationssystem Verkehrszulassung (IVZ) keine Daten zu Administrativmassnahmen (Art. 89c Bst. D SVG) enthalten sind, die am Begehungsort im Ausland verfügte Dauer des Fahrverbots nicht überschreiten (Art. 16cbis Abs. 2 SVG). Mit dem letzten Satz wird dem Unrechtsgehalt der Verkehrsregelverletzung am ausländischen Begehungsort Rechnung getragen. Art. 16cbis Abs. 2 Satz 3 SVG ist nur anwendbar bei Personen, die im Administrativmassnahmenregister Seite 4 nicht verzeichnet sind, also bei Ersttätern. Bei Rückfalltätern darf die schweizerische Behörde die Dauer des am Begehungsort verfügten Fahrverbots überschreiten (BGE 141 II 256 E. 2.4 m.w.H.). Zu den Administrativmassnahmen, zu denen das IVZ Daten enthält, zählt unter anderem die Verwarnung (Art. 89c Bst. d Ziff. 7 SVG). Gemäss der unbestrittenen Feststellung der verfügenden Behörde ist im IVZ eine Verwarnung, datiert vom 24. September 2021, eingetragen, womit der Beschwerdeführer als Wiederholungstäter gilt (BGE 148 II 511 E. 4.4 f; Urteil des Bundesgerichts 1C_427/2024 vom 17. April 2025 E. 3.4). Die entsprechende Verfügung liegt in den Akten (act. 9.9.3). Hiernach beging der Beschwerdeführer eine leichte Widerhandlung, indem er innerorts die allgemeine oder signalisierte Höchstgeschwindigkeit von 50 km/h um 20 km/h überschritt. Demgegenüber ist Auslöser des vorliegenden Administrativmassnahmenverfahren eine in C. begangene Überschreitung der Höchstgeschwindigkeit um 43 km/h (ausserorts). Gemäss der bundesgerichtlichen Rechtsprechung wird dies unstreitig als schwere Widerhandlung im Sinn von Art. 16b Abs. 1 lit. a SVG eingestuft (anstelle vieler: Urteil des Bundesgerichts 1C_464/2020 vom 16. März 2021 E. 3.2). Mit der erneuten Widerhandlung gilt der Beschwerdeführer damit als Wiederholungstäter. Daher darf die im Ausland verfügte Dauer des Fahrverbots von einem Monat überschritten werden.</w:t>
      </w:r>
    </w:p>
    <w:p>
      <w:r>
        <w:rPr>
          <w:b/>
        </w:rPr>
        <w:t>E. 3.4</w:t>
      </w:r>
    </w:p>
    <w:p>
      <w:r>
        <w:t>Mit dem Wort "angemessen" in Art. 16cbis Abs. 2 erster Satz SVG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Gegebenenfalls kann sich das Unterschreiten der Mindestentzugsdauer rechtfertigen, was Art. 16cbis Abs. 2 Satz 2 SVG ausdrücklich zulässt. Diese Bestimmung geht als spätere und spezielle Art. 16 Abs. 3 Satz 2 SVG, wonach die Mindestentzugsdauer nicht unterschritten werden darf, vor (BGE 141 II 256 E. 2.3 m.w.H.). Hinsichtlich der angemessenen Berücksichtigung des ausländischen Fahrverbots bei der Festlegung der Entzugsdauer ist auf Folgendes hinzuweisen: Berücksichtigt werden muss nur, ob der Beschwerdeführer im Land, in dem das Fahrverbot auferlegt wurde, auf das Führen von Motorfahrzeugen angewiesen ist. Nicht relevant ist, ob generell im Ausland eine Notwendigkeit dazu besteht (missverständlich hierzu BBl 2007 7622; vgl. aber auch Art. 16 Abs. 3 SVG, wonach trotz beruflicher Notwendigkeit die Mindestdauer mit einigen hier nicht einschlägigen Ausnahmefällen nicht unterschritten werden darf). Der Beschwerdeführer ist Seite 5 seinen Angaben nach beruflich in F. unterwegs. Ob er auch in C. – das ausländische Fahrverbot galt nur dort – oft (berufsmässig oder privat) unterwegs ist bzw. war, ergibt sich nicht aus den Akten. Dementsprechend ist nicht ersichtlich, inwiefern der Beschwerdeführer durch das in C. verhängte Fahrverbot überhaupt betroffen war. Mit der Vorinstanz ist im Weiteren darin übereinzugehen, dass der beruflichen Angewiesenheit des Beschwerdeführers Rechnung getragen wurde, indem die Fahrverbote in der Schweiz und C. zeitlich gestaffelt erfolgten. Da die Mindestentzugsdauer von drei Monaten (Art. 16c Abs. 2 lit. a SVG) durch die gestaffelten Fahrverbote nicht überschritten wurde, hat die verfügende Behörde das vollstreckte Fahrverbot in C. angemessen angerechnet (Urteil des Bundesgerichts 1C_427/2024 vom 17. April 2025 E. 3.4). Mit Blick auf die hohe Geschwindigkeitsüberschreitung um 43 km/h – wobei ausserorts bereits bei einer Überschreitung von 30 km/h von einer schweren Widerhandlung ausgegangen werden kann (siehe dazu Urteil des Bundesgerichts 1C_464/2020 vom 16. März 2021 E. 3.2) – ist das Obergericht der Auffassung, dass der zweimonatige Führerausweisentzug im Rahmen des pflichtgemässen Ermessens der verfügenden Behörde erfolgte.</w:t>
      </w:r>
    </w:p>
    <w:p>
      <w:r>
        <w:rPr>
          <w:b/>
        </w:rPr>
        <w:t>E. 4</w:t>
      </w:r>
    </w:p>
    <w:p>
      <w:r>
        <w:t>Zusammenfassend sind der vorinstanzliche Entscheid und der angeordnete Führerausweisentzug daher nicht zu beanstanden, womit die Beschwerde abzuweisen ist. Das Strassenverkehrsamt hat nach Rechtskraft dieses Urteils den Vollzug des Führerausweisentzugs neu anzusetzen.</w:t>
      </w:r>
    </w:p>
    <w:p>
      <w:r>
        <w:rPr>
          <w:b/>
        </w:rPr>
        <w:t>E. 5</w:t>
      </w:r>
    </w:p>
    <w:p>
      <w:r>
        <w:t>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6</w:t>
      </w:r>
    </w:p>
    <w:p>
      <w:r>
        <w:t>Mitteilung an: - A., mit Gerichtsurkunde - Departement Inneres und Sicherheit, mit Gerichtsurkunde - Strassenverkehrsamt Appenzell Ausserrhoden, mit Gerichtsurkunde Im Namen der 4. Abteilung des Obergerichts Der Obergerichtsvizepräsident: Der Gerichtsschreiber: lic. iur. Daniel Hofmann MLaw Gabriel Barben versandt am: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